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9"/>
        <w:gridCol w:w="2126"/>
        <w:gridCol w:w="3523"/>
      </w:tblGrid>
      <w:tr w:rsidR="00174D8C" w:rsidTr="001A4AAC">
        <w:tc>
          <w:tcPr>
            <w:tcW w:w="6608" w:type="dxa"/>
            <w:gridSpan w:val="3"/>
          </w:tcPr>
          <w:p w:rsidR="00FF215C" w:rsidRDefault="00FF215C">
            <w:pPr>
              <w:framePr w:hSpace="181" w:wrap="notBeside" w:vAnchor="text" w:hAnchor="page" w:x="1460" w:y="159"/>
              <w:spacing w:line="180" w:lineRule="exact"/>
              <w:rPr>
                <w:noProof/>
              </w:rPr>
            </w:pPr>
            <w:bookmarkStart w:id="0" w:name="MailingAddress"/>
            <w:bookmarkEnd w:id="0"/>
            <w:r>
              <w:rPr>
                <w:noProof/>
              </w:rPr>
              <w:t>GOWLING WLG (CANADA) LLP</w:t>
            </w:r>
          </w:p>
          <w:p w:rsidR="00FF215C" w:rsidRDefault="00FF215C">
            <w:pPr>
              <w:framePr w:hSpace="181" w:wrap="notBeside" w:vAnchor="text" w:hAnchor="page" w:x="1460" w:y="159"/>
              <w:spacing w:line="180" w:lineRule="exact"/>
              <w:rPr>
                <w:noProof/>
              </w:rPr>
            </w:pPr>
            <w:r>
              <w:rPr>
                <w:noProof/>
              </w:rPr>
              <w:t>SUITE 2600, 160 ELGIN STREET</w:t>
            </w:r>
          </w:p>
          <w:p w:rsidR="00FF215C" w:rsidRDefault="00FF215C">
            <w:pPr>
              <w:framePr w:hSpace="181" w:wrap="notBeside" w:vAnchor="text" w:hAnchor="page" w:x="1460" w:y="159"/>
              <w:spacing w:line="180" w:lineRule="exact"/>
              <w:rPr>
                <w:noProof/>
              </w:rPr>
            </w:pPr>
            <w:r>
              <w:rPr>
                <w:noProof/>
              </w:rPr>
              <w:t>OTTAWA</w:t>
            </w:r>
          </w:p>
          <w:p w:rsidR="00174D8C" w:rsidRDefault="00FF215C">
            <w:pPr>
              <w:framePr w:hSpace="181" w:wrap="notBeside" w:vAnchor="text" w:hAnchor="page" w:x="1460" w:y="159"/>
              <w:spacing w:line="180" w:lineRule="exact"/>
              <w:rPr>
                <w:noProof/>
              </w:rPr>
            </w:pPr>
            <w:r>
              <w:rPr>
                <w:noProof/>
              </w:rPr>
              <w:t>ONTARIO K1P 1C3</w:t>
            </w:r>
          </w:p>
        </w:tc>
      </w:tr>
      <w:tr w:rsidR="00174D8C" w:rsidTr="001A4AAC">
        <w:tc>
          <w:tcPr>
            <w:tcW w:w="6608" w:type="dxa"/>
            <w:gridSpan w:val="3"/>
          </w:tcPr>
          <w:p w:rsidR="00174D8C" w:rsidRDefault="00174D8C">
            <w:pPr>
              <w:framePr w:hSpace="181" w:wrap="notBeside" w:vAnchor="text" w:hAnchor="page" w:x="1460" w:y="159"/>
              <w:spacing w:line="180" w:lineRule="exact"/>
              <w:rPr>
                <w:noProof/>
              </w:rPr>
            </w:pPr>
            <w:bookmarkStart w:id="1" w:name="Attention"/>
            <w:bookmarkEnd w:id="1"/>
          </w:p>
          <w:p w:rsidR="00174D8C" w:rsidRDefault="00174D8C">
            <w:pPr>
              <w:framePr w:hSpace="181" w:wrap="notBeside" w:vAnchor="text" w:hAnchor="page" w:x="1460" w:y="159"/>
              <w:spacing w:line="180" w:lineRule="exact"/>
              <w:rPr>
                <w:noProof/>
              </w:rPr>
            </w:pPr>
          </w:p>
        </w:tc>
      </w:tr>
      <w:tr w:rsidR="00174D8C" w:rsidTr="001A4AAC">
        <w:tc>
          <w:tcPr>
            <w:tcW w:w="959" w:type="dxa"/>
          </w:tcPr>
          <w:p w:rsidR="00174D8C" w:rsidRDefault="00174D8C">
            <w:pPr>
              <w:framePr w:hSpace="181" w:wrap="notBeside" w:vAnchor="text" w:hAnchor="page" w:x="1460" w:y="159"/>
              <w:rPr>
                <w:noProof/>
                <w:lang w:val="fr-CA"/>
              </w:rPr>
            </w:pPr>
            <w:r>
              <w:rPr>
                <w:noProof/>
                <w:sz w:val="22"/>
                <w:lang w:val="fr-CA"/>
              </w:rPr>
              <w:t>RE:</w:t>
            </w:r>
          </w:p>
        </w:tc>
        <w:tc>
          <w:tcPr>
            <w:tcW w:w="2126" w:type="dxa"/>
          </w:tcPr>
          <w:p w:rsidR="00174D8C" w:rsidRDefault="00FF215C">
            <w:pPr>
              <w:framePr w:wrap="auto" w:vAnchor="text" w:hAnchor="page" w:x="1460" w:y="159"/>
              <w:rPr>
                <w:noProof/>
                <w:lang w:val="fr-CA"/>
              </w:rPr>
            </w:pPr>
            <w:bookmarkStart w:id="2" w:name="TMHeader"/>
            <w:bookmarkEnd w:id="2"/>
            <w:r>
              <w:rPr>
                <w:noProof/>
                <w:lang w:val="fr-CA"/>
              </w:rPr>
              <w:t>Trade-mark</w:t>
            </w:r>
            <w:r w:rsidR="00174D8C">
              <w:rPr>
                <w:noProof/>
                <w:lang w:val="fr-CA"/>
              </w:rPr>
              <w:t>:</w:t>
            </w:r>
          </w:p>
        </w:tc>
        <w:tc>
          <w:tcPr>
            <w:tcW w:w="3523" w:type="dxa"/>
          </w:tcPr>
          <w:p w:rsidR="00174D8C" w:rsidRDefault="00FF215C">
            <w:pPr>
              <w:framePr w:wrap="auto" w:vAnchor="text" w:hAnchor="page" w:x="1460" w:y="159"/>
              <w:rPr>
                <w:noProof/>
                <w:lang w:val="fr-CA"/>
              </w:rPr>
            </w:pPr>
            <w:bookmarkStart w:id="3" w:name="TradeMark"/>
            <w:bookmarkEnd w:id="3"/>
            <w:r>
              <w:rPr>
                <w:noProof/>
                <w:lang w:val="fr-CA"/>
              </w:rPr>
              <w:t>Sound mark</w:t>
            </w:r>
          </w:p>
        </w:tc>
      </w:tr>
      <w:tr w:rsidR="00174D8C" w:rsidTr="001A4AAC">
        <w:tc>
          <w:tcPr>
            <w:tcW w:w="959" w:type="dxa"/>
          </w:tcPr>
          <w:p w:rsidR="00174D8C" w:rsidRDefault="00174D8C">
            <w:pPr>
              <w:framePr w:hSpace="181" w:wrap="notBeside" w:vAnchor="text" w:hAnchor="page" w:x="1460" w:y="159"/>
              <w:rPr>
                <w:noProof/>
                <w:lang w:val="fr-CA"/>
              </w:rPr>
            </w:pPr>
          </w:p>
        </w:tc>
        <w:tc>
          <w:tcPr>
            <w:tcW w:w="2126" w:type="dxa"/>
          </w:tcPr>
          <w:p w:rsidR="00174D8C" w:rsidRDefault="00174D8C">
            <w:pPr>
              <w:framePr w:wrap="auto" w:vAnchor="text" w:hAnchor="page" w:x="1460" w:y="159"/>
              <w:rPr>
                <w:noProof/>
                <w:lang w:val="fr-CA"/>
              </w:rPr>
            </w:pPr>
            <w:r>
              <w:rPr>
                <w:noProof/>
                <w:lang w:val="fr-CA"/>
              </w:rPr>
              <w:t>Applicant:</w:t>
            </w:r>
          </w:p>
        </w:tc>
        <w:tc>
          <w:tcPr>
            <w:tcW w:w="3523" w:type="dxa"/>
          </w:tcPr>
          <w:p w:rsidR="00174D8C" w:rsidRDefault="00FF215C">
            <w:pPr>
              <w:framePr w:wrap="auto" w:vAnchor="text" w:hAnchor="page" w:x="1460" w:y="159"/>
              <w:rPr>
                <w:noProof/>
                <w:lang w:val="fr-CA"/>
              </w:rPr>
            </w:pPr>
            <w:bookmarkStart w:id="4" w:name="ApplicantName"/>
            <w:bookmarkEnd w:id="4"/>
            <w:r>
              <w:rPr>
                <w:noProof/>
                <w:lang w:val="fr-CA"/>
              </w:rPr>
              <w:t>Danjaq, LLC</w:t>
            </w:r>
          </w:p>
        </w:tc>
      </w:tr>
    </w:tbl>
    <w:tbl>
      <w:tblPr>
        <w:tblW w:w="0" w:type="auto"/>
        <w:tblLayout w:type="fixed"/>
        <w:tblLook w:val="0000" w:firstRow="0" w:lastRow="0" w:firstColumn="0" w:lastColumn="0" w:noHBand="0" w:noVBand="0"/>
      </w:tblPr>
      <w:tblGrid>
        <w:gridCol w:w="2518"/>
      </w:tblGrid>
      <w:tr w:rsidR="00174D8C">
        <w:tc>
          <w:tcPr>
            <w:tcW w:w="2518" w:type="dxa"/>
          </w:tcPr>
          <w:p w:rsidR="00174D8C" w:rsidRDefault="00FF215C">
            <w:pPr>
              <w:framePr w:w="2268" w:hSpace="181" w:wrap="notBeside" w:vAnchor="text" w:hAnchor="page" w:x="8313" w:y="160"/>
              <w:ind w:left="284" w:right="317"/>
              <w:jc w:val="center"/>
              <w:rPr>
                <w:noProof/>
                <w:lang w:val="fr-CA"/>
              </w:rPr>
            </w:pPr>
            <w:bookmarkStart w:id="5" w:name="Date"/>
            <w:bookmarkEnd w:id="5"/>
            <w:r>
              <w:rPr>
                <w:noProof/>
                <w:lang w:val="fr-CA"/>
              </w:rPr>
              <w:t>3 mars/Mar 2016</w:t>
            </w:r>
          </w:p>
        </w:tc>
      </w:tr>
      <w:tr w:rsidR="00174D8C">
        <w:tc>
          <w:tcPr>
            <w:tcW w:w="2518" w:type="dxa"/>
          </w:tcPr>
          <w:p w:rsidR="00174D8C" w:rsidRDefault="00174D8C">
            <w:pPr>
              <w:framePr w:w="2268" w:hSpace="181" w:wrap="notBeside" w:vAnchor="text" w:hAnchor="page" w:x="8313" w:y="160"/>
              <w:tabs>
                <w:tab w:val="left" w:pos="-720"/>
              </w:tabs>
              <w:suppressAutoHyphens/>
              <w:ind w:left="284" w:right="317"/>
              <w:rPr>
                <w:rFonts w:ascii="Arial" w:hAnsi="Arial"/>
                <w:noProof/>
                <w:spacing w:val="-3"/>
                <w:sz w:val="12"/>
                <w:lang w:val="fr-CA"/>
              </w:rPr>
            </w:pPr>
            <w:r>
              <w:rPr>
                <w:rFonts w:ascii="Arial" w:hAnsi="Arial"/>
                <w:i/>
                <w:noProof/>
                <w:spacing w:val="-1"/>
                <w:sz w:val="12"/>
                <w:lang w:val="fr-CA"/>
              </w:rPr>
              <w:t>Votre référence   Your File</w:t>
            </w:r>
          </w:p>
          <w:p w:rsidR="00174D8C" w:rsidRDefault="00FF215C">
            <w:pPr>
              <w:framePr w:w="2268" w:hSpace="181" w:wrap="notBeside" w:vAnchor="text" w:hAnchor="page" w:x="8313" w:y="160"/>
              <w:ind w:left="284" w:right="317"/>
              <w:jc w:val="center"/>
              <w:rPr>
                <w:noProof/>
                <w:lang w:val="fr-CA"/>
              </w:rPr>
            </w:pPr>
            <w:bookmarkStart w:id="6" w:name="Reference"/>
            <w:bookmarkEnd w:id="6"/>
            <w:r>
              <w:rPr>
                <w:noProof/>
                <w:lang w:val="fr-CA"/>
              </w:rPr>
              <w:t>06717779CA</w:t>
            </w:r>
          </w:p>
        </w:tc>
      </w:tr>
      <w:tr w:rsidR="00174D8C">
        <w:tc>
          <w:tcPr>
            <w:tcW w:w="2518" w:type="dxa"/>
          </w:tcPr>
          <w:p w:rsidR="00174D8C" w:rsidRDefault="00174D8C">
            <w:pPr>
              <w:framePr w:w="2268" w:hSpace="181" w:wrap="notBeside" w:vAnchor="text" w:hAnchor="page" w:x="8313" w:y="160"/>
              <w:tabs>
                <w:tab w:val="left" w:pos="-720"/>
              </w:tabs>
              <w:suppressAutoHyphens/>
              <w:ind w:left="284" w:right="317"/>
              <w:rPr>
                <w:rFonts w:ascii="Arial" w:hAnsi="Arial"/>
                <w:noProof/>
                <w:color w:val="000000"/>
                <w:spacing w:val="-3"/>
                <w:sz w:val="12"/>
                <w:lang w:val="fr-CA"/>
              </w:rPr>
            </w:pPr>
            <w:r>
              <w:rPr>
                <w:rFonts w:ascii="Arial" w:hAnsi="Arial"/>
                <w:i/>
                <w:noProof/>
                <w:color w:val="000000"/>
                <w:spacing w:val="-1"/>
                <w:sz w:val="12"/>
                <w:lang w:val="fr-CA"/>
              </w:rPr>
              <w:t>Notre référence   Our File</w:t>
            </w:r>
          </w:p>
          <w:p w:rsidR="00174D8C" w:rsidRDefault="00FF215C">
            <w:pPr>
              <w:framePr w:w="2268" w:hSpace="181" w:wrap="notBeside" w:vAnchor="text" w:hAnchor="page" w:x="8313" w:y="160"/>
              <w:ind w:left="284" w:right="317"/>
              <w:jc w:val="center"/>
              <w:rPr>
                <w:noProof/>
                <w:lang w:val="fr-CA"/>
              </w:rPr>
            </w:pPr>
            <w:bookmarkStart w:id="7" w:name="OurFileNumber"/>
            <w:bookmarkEnd w:id="7"/>
            <w:r>
              <w:rPr>
                <w:noProof/>
                <w:lang w:val="fr-CA"/>
              </w:rPr>
              <w:t>1733564</w:t>
            </w:r>
          </w:p>
        </w:tc>
      </w:tr>
      <w:tr w:rsidR="00174D8C">
        <w:tc>
          <w:tcPr>
            <w:tcW w:w="2518" w:type="dxa"/>
          </w:tcPr>
          <w:p w:rsidR="00174D8C" w:rsidRDefault="00FF215C">
            <w:pPr>
              <w:framePr w:w="2268" w:hSpace="181" w:wrap="notBeside" w:vAnchor="text" w:hAnchor="page" w:x="8313" w:y="160"/>
              <w:rPr>
                <w:noProof/>
                <w:lang w:val="fr-CA"/>
              </w:rPr>
            </w:pPr>
            <w:bookmarkStart w:id="8" w:name="Design"/>
            <w:bookmarkEnd w:id="8"/>
            <w:r>
              <w:rPr>
                <w:noProof/>
                <w:lang w:val="en-CA" w:eastAsia="en-CA"/>
              </w:rPr>
              <w:drawing>
                <wp:inline distT="0" distB="0" distL="0" distR="0">
                  <wp:extent cx="1461770" cy="1626870"/>
                  <wp:effectExtent l="0" t="0" r="508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61770" cy="1626870"/>
                          </a:xfrm>
                          <a:prstGeom prst="rect">
                            <a:avLst/>
                          </a:prstGeom>
                        </pic:spPr>
                      </pic:pic>
                    </a:graphicData>
                  </a:graphic>
                </wp:inline>
              </w:drawing>
            </w:r>
          </w:p>
        </w:tc>
      </w:tr>
    </w:tbl>
    <w:p w:rsidR="00174D8C" w:rsidRDefault="00174D8C">
      <w:pPr>
        <w:suppressAutoHyphens/>
        <w:rPr>
          <w:noProof/>
          <w:sz w:val="22"/>
        </w:rPr>
        <w:sectPr w:rsidR="00174D8C">
          <w:headerReference w:type="default" r:id="rId8"/>
          <w:footerReference w:type="default" r:id="rId9"/>
          <w:type w:val="continuous"/>
          <w:pgSz w:w="12240" w:h="15840" w:code="1"/>
          <w:pgMar w:top="1985" w:right="1440" w:bottom="720" w:left="1440" w:header="652" w:footer="170" w:gutter="0"/>
          <w:cols w:space="720"/>
          <w:noEndnote/>
          <w:docGrid w:linePitch="272"/>
        </w:sectPr>
      </w:pPr>
    </w:p>
    <w:p w:rsidR="00174D8C" w:rsidRDefault="00174D8C">
      <w:pPr>
        <w:suppressAutoHyphens/>
        <w:rPr>
          <w:noProof/>
          <w:spacing w:val="-2"/>
          <w:sz w:val="22"/>
        </w:rPr>
      </w:pPr>
    </w:p>
    <w:p w:rsidR="00174D8C" w:rsidRDefault="00174D8C">
      <w:pPr>
        <w:tabs>
          <w:tab w:val="left" w:pos="-720"/>
        </w:tabs>
        <w:suppressAutoHyphens/>
        <w:spacing w:before="120"/>
        <w:rPr>
          <w:b/>
          <w:sz w:val="22"/>
          <w:lang w:val="fr-CA"/>
        </w:rPr>
      </w:pPr>
    </w:p>
    <w:p w:rsidR="00174D8C" w:rsidRDefault="00174D8C">
      <w:pPr>
        <w:pBdr>
          <w:top w:val="single" w:sz="6" w:space="1" w:color="auto"/>
        </w:pBdr>
        <w:tabs>
          <w:tab w:val="left" w:pos="-720"/>
        </w:tabs>
        <w:suppressAutoHyphens/>
        <w:spacing w:before="120"/>
        <w:rPr>
          <w:b/>
          <w:sz w:val="22"/>
        </w:rPr>
      </w:pPr>
      <w:r>
        <w:rPr>
          <w:sz w:val="22"/>
        </w:rPr>
        <w:t xml:space="preserve">This examiner's report concerns the above identified application.  To avoid abandonment proceedings, a proper response must be received by this office by </w:t>
      </w:r>
      <w:bookmarkStart w:id="9" w:name="BFDate"/>
      <w:bookmarkEnd w:id="9"/>
      <w:r w:rsidR="00FF215C">
        <w:rPr>
          <w:sz w:val="22"/>
        </w:rPr>
        <w:t>September 3, 2016</w:t>
      </w:r>
      <w:r>
        <w:rPr>
          <w:sz w:val="22"/>
        </w:rPr>
        <w:t>.  All correspondence respecting this application must indicate the file number.</w:t>
      </w:r>
    </w:p>
    <w:p w:rsidR="00223A97" w:rsidRDefault="00B534BC" w:rsidP="00B534BC">
      <w:pPr>
        <w:spacing w:before="120"/>
        <w:rPr>
          <w:sz w:val="22"/>
          <w:szCs w:val="22"/>
        </w:rPr>
      </w:pPr>
      <w:bookmarkStart w:id="10" w:name="Cursor"/>
      <w:bookmarkEnd w:id="10"/>
      <w:r>
        <w:rPr>
          <w:sz w:val="22"/>
          <w:szCs w:val="22"/>
        </w:rPr>
        <w:t xml:space="preserve">The subject mark of this application is considered to be clearly descriptive since it is considered to be functional </w:t>
      </w:r>
      <w:r>
        <w:rPr>
          <w:sz w:val="22"/>
          <w:szCs w:val="22"/>
        </w:rPr>
        <w:t xml:space="preserve">of the goods </w:t>
      </w:r>
      <w:r w:rsidR="00223A97">
        <w:rPr>
          <w:sz w:val="22"/>
          <w:szCs w:val="22"/>
        </w:rPr>
        <w:t>namely the goods bolded below:</w:t>
      </w:r>
    </w:p>
    <w:p w:rsidR="00223A97" w:rsidRDefault="00223A97" w:rsidP="00223A97">
      <w:pPr>
        <w:spacing w:before="120"/>
        <w:ind w:left="720"/>
        <w:rPr>
          <w:sz w:val="22"/>
          <w:szCs w:val="22"/>
        </w:rPr>
      </w:pPr>
      <w:r w:rsidRPr="00223A97">
        <w:rPr>
          <w:b/>
          <w:sz w:val="22"/>
          <w:szCs w:val="22"/>
        </w:rPr>
        <w:t>Pre-recorded audio</w:t>
      </w:r>
      <w:r w:rsidRPr="00223A97">
        <w:rPr>
          <w:sz w:val="22"/>
          <w:szCs w:val="22"/>
        </w:rPr>
        <w:t xml:space="preserve"> and video compact discs, DVDS, and motion picture films featuring entertainment, namely, action adventure, drama, comedy, and romance; </w:t>
      </w:r>
      <w:r w:rsidRPr="00223A97">
        <w:rPr>
          <w:b/>
          <w:sz w:val="22"/>
          <w:szCs w:val="22"/>
        </w:rPr>
        <w:t>musical sound recordings, contained on compact discs and digital music (downloadable) provided from web sites or from any other communications network including wireless and cable</w:t>
      </w:r>
      <w:r w:rsidRPr="00223A97">
        <w:rPr>
          <w:sz w:val="22"/>
          <w:szCs w:val="22"/>
        </w:rPr>
        <w:t>; magnetically encoded computer and video game programs; video and computer game compact discs adapted for use with television receivers; downloadable computer video game software</w:t>
      </w:r>
      <w:r>
        <w:rPr>
          <w:sz w:val="22"/>
          <w:szCs w:val="22"/>
        </w:rPr>
        <w:t xml:space="preserve"> supplied on-</w:t>
      </w:r>
      <w:r w:rsidRPr="00223A97">
        <w:rPr>
          <w:sz w:val="22"/>
          <w:szCs w:val="22"/>
        </w:rPr>
        <w:t xml:space="preserve">line from databases or provided through a global computer network or from any other communications network including wireless and cable; </w:t>
      </w:r>
      <w:r w:rsidRPr="00223A97">
        <w:rPr>
          <w:b/>
          <w:sz w:val="22"/>
          <w:szCs w:val="22"/>
        </w:rPr>
        <w:t>downloadable mobile telephone ring tones</w:t>
      </w:r>
      <w:r w:rsidRPr="00223A97">
        <w:rPr>
          <w:sz w:val="22"/>
          <w:szCs w:val="22"/>
        </w:rPr>
        <w:t>, images and animations via the internet and wireless devices; downloadable videos and films featuring entertainment, namely, action adventure, drama, comedy, and romance via a wireless network for use with mobile devices; downloadable mobile telephone games and graphics via a global computer network and wireless devices.</w:t>
      </w:r>
    </w:p>
    <w:p w:rsidR="00B534BC" w:rsidRDefault="00223A97" w:rsidP="00B534BC">
      <w:pPr>
        <w:spacing w:before="120"/>
        <w:rPr>
          <w:sz w:val="22"/>
          <w:szCs w:val="22"/>
        </w:rPr>
      </w:pPr>
      <w:r>
        <w:rPr>
          <w:sz w:val="22"/>
          <w:szCs w:val="22"/>
        </w:rPr>
        <w:t xml:space="preserve">The </w:t>
      </w:r>
      <w:r w:rsidR="00BB2E26">
        <w:rPr>
          <w:sz w:val="22"/>
          <w:szCs w:val="22"/>
        </w:rPr>
        <w:t xml:space="preserve">use of the </w:t>
      </w:r>
      <w:r>
        <w:rPr>
          <w:sz w:val="22"/>
          <w:szCs w:val="22"/>
        </w:rPr>
        <w:t>subject trad</w:t>
      </w:r>
      <w:r w:rsidR="00BB2E26">
        <w:rPr>
          <w:sz w:val="22"/>
          <w:szCs w:val="22"/>
        </w:rPr>
        <w:t>emark is essential to the goods bolded above and therefore deemed functional and</w:t>
      </w:r>
      <w:r>
        <w:rPr>
          <w:sz w:val="22"/>
          <w:szCs w:val="22"/>
        </w:rPr>
        <w:t xml:space="preserve"> i</w:t>
      </w:r>
      <w:r w:rsidR="00B534BC">
        <w:rPr>
          <w:sz w:val="22"/>
          <w:szCs w:val="22"/>
        </w:rPr>
        <w:t xml:space="preserve">n view of the practice notice entitled </w:t>
      </w:r>
      <w:r w:rsidR="00B534BC">
        <w:rPr>
          <w:i/>
          <w:iCs/>
          <w:sz w:val="22"/>
          <w:szCs w:val="22"/>
        </w:rPr>
        <w:t>Trademark consisting of a sound</w:t>
      </w:r>
      <w:r w:rsidR="00B534BC">
        <w:rPr>
          <w:sz w:val="22"/>
          <w:szCs w:val="22"/>
        </w:rPr>
        <w:t xml:space="preserve"> published on March 28, 2012 and with respect to the provisions of paragraph 12(1</w:t>
      </w:r>
      <w:proofErr w:type="gramStart"/>
      <w:r w:rsidR="00B534BC">
        <w:rPr>
          <w:sz w:val="22"/>
          <w:szCs w:val="22"/>
        </w:rPr>
        <w:t>)(</w:t>
      </w:r>
      <w:proofErr w:type="gramEnd"/>
      <w:r w:rsidR="00B534BC">
        <w:rPr>
          <w:sz w:val="22"/>
          <w:szCs w:val="22"/>
        </w:rPr>
        <w:t xml:space="preserve">b) of the </w:t>
      </w:r>
      <w:r w:rsidR="00B534BC">
        <w:rPr>
          <w:i/>
          <w:iCs/>
          <w:sz w:val="22"/>
          <w:szCs w:val="22"/>
        </w:rPr>
        <w:t>Trade-marks Act</w:t>
      </w:r>
      <w:r w:rsidR="00B534BC">
        <w:rPr>
          <w:sz w:val="22"/>
          <w:szCs w:val="22"/>
        </w:rPr>
        <w:t>, this mar</w:t>
      </w:r>
      <w:r w:rsidR="00BB2E26">
        <w:rPr>
          <w:sz w:val="22"/>
          <w:szCs w:val="22"/>
        </w:rPr>
        <w:t>k does not appear registrable. </w:t>
      </w:r>
    </w:p>
    <w:p w:rsidR="00BB2E26" w:rsidRDefault="00BB2E26" w:rsidP="00BB2E26">
      <w:pPr>
        <w:spacing w:before="120"/>
        <w:rPr>
          <w:sz w:val="22"/>
          <w:szCs w:val="22"/>
        </w:rPr>
      </w:pPr>
      <w:r>
        <w:rPr>
          <w:sz w:val="22"/>
          <w:szCs w:val="22"/>
        </w:rPr>
        <w:t>Any comments you may wish to submit will receive consideration.</w:t>
      </w:r>
    </w:p>
    <w:p w:rsidR="00F37BED" w:rsidRDefault="00F37BED" w:rsidP="00B534BC">
      <w:pPr>
        <w:spacing w:before="120"/>
        <w:rPr>
          <w:color w:val="000000"/>
          <w:spacing w:val="-3"/>
          <w:sz w:val="22"/>
        </w:rPr>
      </w:pPr>
    </w:p>
    <w:p w:rsidR="00BB2E26" w:rsidRDefault="00BB2E26" w:rsidP="00B534BC">
      <w:pPr>
        <w:spacing w:before="120"/>
        <w:rPr>
          <w:color w:val="000000"/>
          <w:spacing w:val="-3"/>
          <w:sz w:val="22"/>
        </w:rPr>
      </w:pPr>
      <w:r>
        <w:rPr>
          <w:color w:val="000000"/>
          <w:spacing w:val="-3"/>
          <w:sz w:val="22"/>
        </w:rPr>
        <w:lastRenderedPageBreak/>
        <w:t xml:space="preserve">A statement in more specific terms of the goods emphasized in the list below is required.  The goods should be defined in ordinary commercial terms in compliance with the provisions of paragraph 30(a) of the </w:t>
      </w:r>
      <w:r>
        <w:rPr>
          <w:i/>
          <w:color w:val="000000"/>
          <w:spacing w:val="-3"/>
          <w:sz w:val="22"/>
        </w:rPr>
        <w:t>Trade-marks Act.</w:t>
      </w:r>
    </w:p>
    <w:p w:rsidR="00BB2E26" w:rsidRDefault="00BB2E26" w:rsidP="00BB2E26">
      <w:pPr>
        <w:spacing w:before="120"/>
        <w:ind w:left="720"/>
        <w:rPr>
          <w:color w:val="000000"/>
          <w:spacing w:val="-3"/>
          <w:sz w:val="22"/>
        </w:rPr>
      </w:pPr>
      <w:r w:rsidRPr="00BB2E26">
        <w:rPr>
          <w:color w:val="000000"/>
          <w:spacing w:val="-3"/>
          <w:sz w:val="22"/>
        </w:rPr>
        <w:t>Pre-recorded audio and video compact discs, DVDS, and motion picture films</w:t>
      </w:r>
      <w:r w:rsidRPr="00F32D14">
        <w:rPr>
          <w:color w:val="000000"/>
          <w:spacing w:val="-3"/>
          <w:sz w:val="22"/>
        </w:rPr>
        <w:t xml:space="preserve"> featuring entertainment, namely, action adventure, drama, comedy, and romance</w:t>
      </w:r>
      <w:r w:rsidRPr="00BB2E26">
        <w:rPr>
          <w:color w:val="000000"/>
          <w:spacing w:val="-3"/>
          <w:sz w:val="22"/>
        </w:rPr>
        <w:t xml:space="preserve">; musical sound recordings, contained on compact discs and digital music (downloadable) provided from web sites or from any other communications network including wireless and cable; </w:t>
      </w:r>
      <w:r w:rsidRPr="00BB2E26">
        <w:rPr>
          <w:color w:val="000000"/>
          <w:spacing w:val="-3"/>
          <w:sz w:val="22"/>
          <w:u w:val="single"/>
        </w:rPr>
        <w:t>magnetically encoded computer and video game programs</w:t>
      </w:r>
      <w:r w:rsidRPr="00BB2E26">
        <w:rPr>
          <w:color w:val="000000"/>
          <w:spacing w:val="-3"/>
          <w:sz w:val="22"/>
        </w:rPr>
        <w:t xml:space="preserve">; video and computer game compact discs adapted for use with television receivers; </w:t>
      </w:r>
      <w:r w:rsidRPr="00BB2E26">
        <w:rPr>
          <w:color w:val="000000"/>
          <w:spacing w:val="-3"/>
          <w:sz w:val="22"/>
          <w:u w:val="single"/>
        </w:rPr>
        <w:t>downloadable computer video game software</w:t>
      </w:r>
      <w:bookmarkStart w:id="11" w:name="_GoBack"/>
      <w:bookmarkEnd w:id="11"/>
      <w:r>
        <w:rPr>
          <w:color w:val="000000"/>
          <w:spacing w:val="-3"/>
          <w:sz w:val="22"/>
        </w:rPr>
        <w:t xml:space="preserve"> supplied on-</w:t>
      </w:r>
      <w:r w:rsidRPr="00BB2E26">
        <w:rPr>
          <w:color w:val="000000"/>
          <w:spacing w:val="-3"/>
          <w:sz w:val="22"/>
        </w:rPr>
        <w:t xml:space="preserve">line from databases or provided through a global computer network or from any other communications network including wireless and cable; downloadable mobile telephone ring tones, images and animations via the internet and wireless devices; </w:t>
      </w:r>
      <w:r w:rsidRPr="00E15FC5">
        <w:rPr>
          <w:color w:val="000000"/>
          <w:spacing w:val="-3"/>
          <w:sz w:val="22"/>
        </w:rPr>
        <w:t>downloadable videos</w:t>
      </w:r>
      <w:r w:rsidRPr="00BB2E26">
        <w:rPr>
          <w:color w:val="000000"/>
          <w:spacing w:val="-3"/>
          <w:sz w:val="22"/>
        </w:rPr>
        <w:t xml:space="preserve"> and films featuring entertainment, namely, action adventure, drama, comedy, and romance via a wireless network for use with mobile devices; downloadable mobile telephone games and graphics via a global computer network and wireless devices.</w:t>
      </w:r>
    </w:p>
    <w:p w:rsidR="00E15FC5" w:rsidRDefault="00E15FC5" w:rsidP="00E15FC5">
      <w:pPr>
        <w:spacing w:before="120"/>
        <w:rPr>
          <w:color w:val="000000"/>
          <w:spacing w:val="-3"/>
          <w:sz w:val="22"/>
        </w:rPr>
      </w:pPr>
      <w:r>
        <w:rPr>
          <w:color w:val="000000"/>
          <w:spacing w:val="-3"/>
          <w:sz w:val="22"/>
        </w:rPr>
        <w:t xml:space="preserve">A statement in more specific terms of the services emphasized in the list below is required.  The services should be defined in ordinary commercial terms in compliance with the provisions of paragraph 30(a) of the </w:t>
      </w:r>
      <w:r>
        <w:rPr>
          <w:i/>
          <w:color w:val="000000"/>
          <w:spacing w:val="-3"/>
          <w:sz w:val="22"/>
        </w:rPr>
        <w:t>Trade-marks Act.</w:t>
      </w:r>
    </w:p>
    <w:p w:rsidR="00174D8C" w:rsidRDefault="00E15FC5" w:rsidP="00E15FC5">
      <w:pPr>
        <w:spacing w:before="120"/>
        <w:ind w:left="720"/>
        <w:rPr>
          <w:color w:val="000000"/>
          <w:spacing w:val="-3"/>
          <w:sz w:val="22"/>
        </w:rPr>
      </w:pPr>
      <w:r w:rsidRPr="00E15FC5">
        <w:rPr>
          <w:color w:val="000000"/>
          <w:spacing w:val="-3"/>
          <w:sz w:val="22"/>
        </w:rPr>
        <w:t>Entertainment services, namely, production and distribution of motion pictures Internet services, namely</w:t>
      </w:r>
      <w:proofErr w:type="gramStart"/>
      <w:r w:rsidRPr="00E15FC5">
        <w:rPr>
          <w:color w:val="000000"/>
          <w:spacing w:val="-3"/>
          <w:sz w:val="22"/>
        </w:rPr>
        <w:t xml:space="preserve">, </w:t>
      </w:r>
      <w:r w:rsidRPr="00E15FC5">
        <w:rPr>
          <w:color w:val="000000"/>
          <w:spacing w:val="-3"/>
          <w:sz w:val="22"/>
          <w:u w:val="single"/>
        </w:rPr>
        <w:t>providing</w:t>
      </w:r>
      <w:proofErr w:type="gramEnd"/>
      <w:r w:rsidRPr="00E15FC5">
        <w:rPr>
          <w:color w:val="000000"/>
          <w:spacing w:val="-3"/>
          <w:sz w:val="22"/>
          <w:u w:val="single"/>
        </w:rPr>
        <w:t xml:space="preserve"> information via an electronic global computer network in the field of entertainment relating to</w:t>
      </w:r>
      <w:r w:rsidRPr="00E15FC5">
        <w:rPr>
          <w:color w:val="000000"/>
          <w:spacing w:val="-3"/>
          <w:sz w:val="22"/>
        </w:rPr>
        <w:t xml:space="preserve"> motion pictures, and providing electronic games, not downloadable, via the Internet.</w:t>
      </w:r>
    </w:p>
    <w:p w:rsidR="00E15FC5" w:rsidRDefault="00E15FC5" w:rsidP="00E15FC5">
      <w:pPr>
        <w:spacing w:before="120"/>
        <w:rPr>
          <w:color w:val="000000"/>
          <w:spacing w:val="-3"/>
          <w:sz w:val="22"/>
        </w:rPr>
      </w:pPr>
      <w:r>
        <w:rPr>
          <w:color w:val="000000"/>
          <w:spacing w:val="-3"/>
          <w:sz w:val="22"/>
        </w:rPr>
        <w:t>It appears that a semi-colon is missing following “</w:t>
      </w:r>
      <w:r w:rsidRPr="00E15FC5">
        <w:rPr>
          <w:color w:val="000000"/>
          <w:spacing w:val="-3"/>
          <w:sz w:val="22"/>
        </w:rPr>
        <w:t>Entertainment services, namely, production and distribution of motion pictures</w:t>
      </w:r>
      <w:r>
        <w:rPr>
          <w:color w:val="000000"/>
          <w:spacing w:val="-3"/>
          <w:sz w:val="22"/>
        </w:rPr>
        <w:t>”. Please add a semi-colon to differentiate these services from the services the immediately proceed.</w:t>
      </w:r>
    </w:p>
    <w:p w:rsidR="00E15FC5" w:rsidRDefault="00E15FC5" w:rsidP="00E15FC5">
      <w:pPr>
        <w:spacing w:before="120"/>
        <w:rPr>
          <w:color w:val="000000"/>
          <w:spacing w:val="-3"/>
          <w:sz w:val="22"/>
        </w:rPr>
      </w:pPr>
      <w:r>
        <w:rPr>
          <w:color w:val="000000"/>
          <w:spacing w:val="-3"/>
          <w:sz w:val="22"/>
        </w:rPr>
        <w:t>A revised application is required.</w:t>
      </w:r>
    </w:p>
    <w:p w:rsidR="00746C53" w:rsidRDefault="0046467C" w:rsidP="00746C53">
      <w:pPr>
        <w:keepNext/>
        <w:widowControl w:val="0"/>
        <w:spacing w:before="120"/>
        <w:rPr>
          <w:sz w:val="22"/>
        </w:rPr>
      </w:pPr>
      <w:r w:rsidRPr="0046467C">
        <w:rPr>
          <w:sz w:val="22"/>
        </w:rPr>
        <w:t>If the applicant has any specific questions in respect of this Office action, please contact the assigned examiner. Please note that for general inquiries, including assistance with filing of the revised application, queries about the status of an application or receipt of correspondence, you may contact our Client Service Centre toll free at 1-866-997-1936</w:t>
      </w:r>
      <w:r w:rsidR="00746C53">
        <w:rPr>
          <w:sz w:val="22"/>
        </w:rPr>
        <w:t>.</w:t>
      </w:r>
    </w:p>
    <w:p w:rsidR="00517602" w:rsidRPr="00517602" w:rsidRDefault="00517602" w:rsidP="00517602"/>
    <w:p w:rsidR="00174D8C" w:rsidRPr="00517602" w:rsidRDefault="00174D8C" w:rsidP="00517602">
      <w:pPr>
        <w:rPr>
          <w:sz w:val="22"/>
          <w:szCs w:val="22"/>
        </w:rPr>
      </w:pPr>
      <w:r w:rsidRPr="00517602">
        <w:rPr>
          <w:sz w:val="22"/>
          <w:szCs w:val="22"/>
        </w:rPr>
        <w:t>Yours truly,</w:t>
      </w:r>
    </w:p>
    <w:p w:rsidR="00174D8C" w:rsidRDefault="00174D8C">
      <w:pPr>
        <w:widowControl w:val="0"/>
        <w:spacing w:before="120"/>
        <w:rPr>
          <w:color w:val="000000"/>
          <w:spacing w:val="-3"/>
          <w:sz w:val="22"/>
        </w:rPr>
      </w:pPr>
    </w:p>
    <w:p w:rsidR="007D1A2C" w:rsidRDefault="00FF215C">
      <w:pPr>
        <w:keepNext/>
        <w:keepLines/>
        <w:widowControl w:val="0"/>
        <w:tabs>
          <w:tab w:val="left" w:pos="-720"/>
        </w:tabs>
        <w:suppressAutoHyphens/>
        <w:spacing w:before="120"/>
        <w:rPr>
          <w:color w:val="000000"/>
          <w:spacing w:val="-3"/>
          <w:sz w:val="22"/>
        </w:rPr>
      </w:pPr>
      <w:bookmarkStart w:id="12" w:name="ElectronicSignature"/>
      <w:bookmarkEnd w:id="12"/>
      <w:r>
        <w:rPr>
          <w:noProof/>
          <w:color w:val="000000"/>
          <w:spacing w:val="-3"/>
          <w:sz w:val="22"/>
          <w:lang w:val="en-CA" w:eastAsia="en-CA"/>
        </w:rPr>
        <w:drawing>
          <wp:inline distT="0" distB="0" distL="0" distR="0">
            <wp:extent cx="801624" cy="6858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01624" cy="685800"/>
                    </a:xfrm>
                    <a:prstGeom prst="rect">
                      <a:avLst/>
                    </a:prstGeom>
                  </pic:spPr>
                </pic:pic>
              </a:graphicData>
            </a:graphic>
          </wp:inline>
        </w:drawing>
      </w:r>
    </w:p>
    <w:p w:rsidR="00174D8C" w:rsidRPr="00FF215C" w:rsidRDefault="00FF215C">
      <w:pPr>
        <w:keepNext/>
        <w:keepLines/>
        <w:widowControl w:val="0"/>
        <w:tabs>
          <w:tab w:val="left" w:pos="-720"/>
        </w:tabs>
        <w:suppressAutoHyphens/>
        <w:jc w:val="both"/>
        <w:rPr>
          <w:color w:val="000000"/>
          <w:spacing w:val="-3"/>
          <w:sz w:val="22"/>
          <w:lang w:val="fr-CA"/>
        </w:rPr>
      </w:pPr>
      <w:bookmarkStart w:id="13" w:name="SignatureName"/>
      <w:bookmarkEnd w:id="13"/>
      <w:r w:rsidRPr="00FF215C">
        <w:rPr>
          <w:color w:val="000000"/>
          <w:spacing w:val="-3"/>
          <w:sz w:val="22"/>
          <w:lang w:val="fr-CA"/>
        </w:rPr>
        <w:t>Jordan Doyle</w:t>
      </w:r>
    </w:p>
    <w:p w:rsidR="00174D8C" w:rsidRPr="00FF215C" w:rsidRDefault="00FF215C">
      <w:pPr>
        <w:keepNext/>
        <w:keepLines/>
        <w:widowControl w:val="0"/>
        <w:tabs>
          <w:tab w:val="left" w:pos="-720"/>
        </w:tabs>
        <w:suppressAutoHyphens/>
        <w:jc w:val="both"/>
        <w:rPr>
          <w:color w:val="000000"/>
          <w:spacing w:val="-3"/>
          <w:sz w:val="22"/>
          <w:lang w:val="fr-CA"/>
        </w:rPr>
      </w:pPr>
      <w:bookmarkStart w:id="14" w:name="SignatureSection"/>
      <w:bookmarkEnd w:id="14"/>
      <w:proofErr w:type="spellStart"/>
      <w:r w:rsidRPr="00FF215C">
        <w:rPr>
          <w:color w:val="000000"/>
          <w:spacing w:val="-3"/>
          <w:sz w:val="22"/>
          <w:lang w:val="fr-CA"/>
        </w:rPr>
        <w:t>Examination</w:t>
      </w:r>
      <w:proofErr w:type="spellEnd"/>
      <w:r w:rsidRPr="00FF215C">
        <w:rPr>
          <w:color w:val="000000"/>
          <w:spacing w:val="-3"/>
          <w:sz w:val="22"/>
          <w:lang w:val="fr-CA"/>
        </w:rPr>
        <w:t xml:space="preserve"> Section</w:t>
      </w:r>
    </w:p>
    <w:p w:rsidR="00174D8C" w:rsidRPr="00FF215C" w:rsidRDefault="00FF215C">
      <w:pPr>
        <w:keepNext/>
        <w:keepLines/>
        <w:widowControl w:val="0"/>
        <w:tabs>
          <w:tab w:val="left" w:pos="-720"/>
        </w:tabs>
        <w:suppressAutoHyphens/>
        <w:jc w:val="both"/>
        <w:rPr>
          <w:sz w:val="22"/>
          <w:lang w:val="fr-CA"/>
        </w:rPr>
      </w:pPr>
      <w:bookmarkStart w:id="15" w:name="SignaturePhoneNumber"/>
      <w:bookmarkEnd w:id="15"/>
      <w:r w:rsidRPr="00FF215C">
        <w:rPr>
          <w:sz w:val="22"/>
          <w:lang w:val="fr-CA"/>
        </w:rPr>
        <w:t>819-934-2708</w:t>
      </w:r>
    </w:p>
    <w:p w:rsidR="00174D8C" w:rsidRPr="00FF215C" w:rsidRDefault="00174D8C">
      <w:pPr>
        <w:keepNext/>
        <w:keepLines/>
        <w:widowControl w:val="0"/>
        <w:tabs>
          <w:tab w:val="left" w:pos="-720"/>
        </w:tabs>
        <w:suppressAutoHyphens/>
        <w:jc w:val="both"/>
        <w:rPr>
          <w:sz w:val="22"/>
          <w:lang w:val="fr-CA"/>
        </w:rPr>
      </w:pPr>
      <w:proofErr w:type="gramStart"/>
      <w:r w:rsidRPr="00FF215C">
        <w:rPr>
          <w:sz w:val="22"/>
          <w:lang w:val="fr-CA"/>
        </w:rPr>
        <w:t>fax</w:t>
      </w:r>
      <w:proofErr w:type="gramEnd"/>
      <w:r w:rsidRPr="00FF215C">
        <w:rPr>
          <w:sz w:val="22"/>
          <w:lang w:val="fr-CA"/>
        </w:rPr>
        <w:t>: 819-953-2476</w:t>
      </w:r>
    </w:p>
    <w:p w:rsidR="00174D8C" w:rsidRPr="00FF215C" w:rsidRDefault="00174D8C">
      <w:pPr>
        <w:keepNext/>
        <w:keepLines/>
        <w:widowControl w:val="0"/>
        <w:tabs>
          <w:tab w:val="left" w:pos="-720"/>
        </w:tabs>
        <w:suppressAutoHyphens/>
        <w:jc w:val="both"/>
        <w:rPr>
          <w:color w:val="000000"/>
          <w:spacing w:val="-3"/>
          <w:sz w:val="22"/>
          <w:lang w:val="fr-CA"/>
        </w:rPr>
      </w:pPr>
      <w:bookmarkStart w:id="16" w:name="SignatureInitials"/>
      <w:bookmarkEnd w:id="16"/>
    </w:p>
    <w:sectPr w:rsidR="00174D8C" w:rsidRPr="00FF215C">
      <w:headerReference w:type="default" r:id="rId11"/>
      <w:footerReference w:type="default" r:id="rId12"/>
      <w:type w:val="continuous"/>
      <w:pgSz w:w="12240" w:h="15840" w:code="1"/>
      <w:pgMar w:top="1985" w:right="1440" w:bottom="720" w:left="1440" w:header="652" w:footer="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D4" w:rsidRDefault="00410BD4">
      <w:r>
        <w:separator/>
      </w:r>
    </w:p>
  </w:endnote>
  <w:endnote w:type="continuationSeparator" w:id="0">
    <w:p w:rsidR="00410BD4" w:rsidRDefault="0041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1" w:type="dxa"/>
      <w:tblInd w:w="-432" w:type="dxa"/>
      <w:tblLook w:val="0000" w:firstRow="0" w:lastRow="0" w:firstColumn="0" w:lastColumn="0" w:noHBand="0" w:noVBand="0"/>
    </w:tblPr>
    <w:tblGrid>
      <w:gridCol w:w="2166"/>
      <w:gridCol w:w="5081"/>
      <w:gridCol w:w="1035"/>
      <w:gridCol w:w="1614"/>
      <w:gridCol w:w="1035"/>
    </w:tblGrid>
    <w:tr w:rsidR="00174D8C">
      <w:trPr>
        <w:trHeight w:val="1125"/>
      </w:trPr>
      <w:tc>
        <w:tcPr>
          <w:tcW w:w="1985" w:type="dxa"/>
          <w:vAlign w:val="center"/>
        </w:tcPr>
        <w:p w:rsidR="00174D8C" w:rsidRDefault="001F1F20">
          <w:pPr>
            <w:tabs>
              <w:tab w:val="center" w:pos="4860"/>
              <w:tab w:val="right" w:pos="8100"/>
              <w:tab w:val="left" w:pos="9720"/>
            </w:tabs>
          </w:pPr>
          <w:r>
            <w:rPr>
              <w:noProof/>
              <w:lang w:val="en-CA" w:eastAsia="en-CA"/>
            </w:rPr>
            <w:drawing>
              <wp:inline distT="0" distB="0" distL="0" distR="0">
                <wp:extent cx="1238250" cy="314325"/>
                <wp:effectExtent l="0" t="0" r="0" b="9525"/>
                <wp:docPr id="1" name="Picture 1" descr="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tc>
      <w:tc>
        <w:tcPr>
          <w:tcW w:w="5213" w:type="dxa"/>
          <w:vAlign w:val="center"/>
        </w:tcPr>
        <w:p w:rsidR="00174D8C" w:rsidRDefault="00174D8C">
          <w:pPr>
            <w:tabs>
              <w:tab w:val="center" w:pos="4860"/>
              <w:tab w:val="right" w:pos="8100"/>
              <w:tab w:val="left" w:pos="9720"/>
            </w:tabs>
            <w:jc w:val="center"/>
            <w:textAlignment w:val="auto"/>
            <w:rPr>
              <w:rFonts w:ascii="CG Times (W1)" w:hAnsi="CG Times (W1)"/>
              <w:i/>
              <w:iCs/>
              <w:sz w:val="15"/>
            </w:rPr>
          </w:pPr>
          <w:r>
            <w:rPr>
              <w:rFonts w:ascii="CG Times (W1)" w:hAnsi="CG Times (W1)"/>
              <w:i/>
              <w:iCs/>
              <w:sz w:val="15"/>
            </w:rPr>
            <w:t xml:space="preserve">                      www.opic.ic.gc.ca</w:t>
          </w:r>
        </w:p>
        <w:p w:rsidR="00174D8C" w:rsidRDefault="00174D8C">
          <w:pPr>
            <w:tabs>
              <w:tab w:val="center" w:pos="4860"/>
              <w:tab w:val="right" w:pos="8100"/>
              <w:tab w:val="left" w:pos="9720"/>
            </w:tabs>
            <w:jc w:val="center"/>
          </w:pPr>
          <w:r>
            <w:rPr>
              <w:rFonts w:ascii="CG Times (W1)" w:hAnsi="CG Times (W1)"/>
              <w:i/>
              <w:iCs/>
              <w:sz w:val="15"/>
            </w:rPr>
            <w:t xml:space="preserve">                      www.cipo.ic.gc.ca</w:t>
          </w:r>
        </w:p>
      </w:tc>
      <w:tc>
        <w:tcPr>
          <w:tcW w:w="1058" w:type="dxa"/>
          <w:vAlign w:val="center"/>
        </w:tcPr>
        <w:p w:rsidR="00174D8C" w:rsidRDefault="00174D8C">
          <w:pPr>
            <w:tabs>
              <w:tab w:val="center" w:pos="4860"/>
              <w:tab w:val="right" w:pos="8100"/>
              <w:tab w:val="left" w:pos="9720"/>
            </w:tabs>
            <w:jc w:val="right"/>
          </w:pPr>
          <w:r>
            <w:rPr>
              <w:rFonts w:ascii="CG Times (W1)" w:hAnsi="CG Times (W1)"/>
            </w:rPr>
            <w:t>O P I C</w:t>
          </w:r>
        </w:p>
      </w:tc>
      <w:tc>
        <w:tcPr>
          <w:tcW w:w="1617" w:type="dxa"/>
          <w:vAlign w:val="center"/>
        </w:tcPr>
        <w:p w:rsidR="00174D8C" w:rsidRDefault="001F1F20">
          <w:pPr>
            <w:tabs>
              <w:tab w:val="center" w:pos="4860"/>
              <w:tab w:val="right" w:pos="8100"/>
              <w:tab w:val="left" w:pos="9720"/>
            </w:tabs>
            <w:jc w:val="center"/>
          </w:pPr>
          <w:r>
            <w:rPr>
              <w:noProof/>
              <w:lang w:val="en-CA" w:eastAsia="en-CA"/>
            </w:rPr>
            <w:drawing>
              <wp:inline distT="0" distB="0" distL="0" distR="0">
                <wp:extent cx="838200" cy="590550"/>
                <wp:effectExtent l="0" t="0" r="0" b="0"/>
                <wp:docPr id="2" name="Picture 2" descr="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590550"/>
                        </a:xfrm>
                        <a:prstGeom prst="rect">
                          <a:avLst/>
                        </a:prstGeom>
                        <a:noFill/>
                        <a:ln>
                          <a:noFill/>
                        </a:ln>
                      </pic:spPr>
                    </pic:pic>
                  </a:graphicData>
                </a:graphic>
              </wp:inline>
            </w:drawing>
          </w:r>
        </w:p>
      </w:tc>
      <w:tc>
        <w:tcPr>
          <w:tcW w:w="1058" w:type="dxa"/>
          <w:vAlign w:val="center"/>
        </w:tcPr>
        <w:p w:rsidR="00174D8C" w:rsidRDefault="00174D8C">
          <w:pPr>
            <w:tabs>
              <w:tab w:val="center" w:pos="4860"/>
              <w:tab w:val="right" w:pos="8100"/>
              <w:tab w:val="left" w:pos="9720"/>
            </w:tabs>
          </w:pPr>
          <w:r>
            <w:rPr>
              <w:rFonts w:ascii="CG Times (W1)" w:hAnsi="CG Times (W1)"/>
            </w:rPr>
            <w:t>C I P O</w:t>
          </w:r>
        </w:p>
      </w:tc>
    </w:tr>
  </w:tbl>
  <w:p w:rsidR="00174D8C" w:rsidRDefault="00174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8C" w:rsidRDefault="00174D8C">
    <w:pPr>
      <w:pStyle w:val="Footer"/>
      <w:jc w:val="right"/>
      <w:rPr>
        <w:rStyle w:val="PageNumber"/>
        <w:rFonts w:ascii="Times New Roman" w:hAnsi="Times New Roman"/>
      </w:rPr>
    </w:pPr>
    <w:r>
      <w:rP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F32D14">
      <w:rPr>
        <w:rStyle w:val="PageNumber"/>
        <w:rFonts w:ascii="Times New Roman" w:hAnsi="Times New Roman"/>
      </w:rPr>
      <w:t>2</w:t>
    </w:r>
    <w:r>
      <w:rPr>
        <w:rStyle w:val="PageNumber"/>
        <w:rFonts w:ascii="Times New Roman" w:hAnsi="Times New Roman"/>
      </w:rPr>
      <w:fldChar w:fldCharType="end"/>
    </w:r>
  </w:p>
  <w:p w:rsidR="00174D8C" w:rsidRDefault="00174D8C">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D4" w:rsidRDefault="00410BD4">
      <w:r>
        <w:separator/>
      </w:r>
    </w:p>
  </w:footnote>
  <w:footnote w:type="continuationSeparator" w:id="0">
    <w:p w:rsidR="00410BD4" w:rsidRDefault="0041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tblInd w:w="-510"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1160"/>
    </w:tblGrid>
    <w:tr w:rsidR="00174D8C" w:rsidRPr="00FF215C">
      <w:tc>
        <w:tcPr>
          <w:tcW w:w="11160" w:type="dxa"/>
          <w:tcBorders>
            <w:top w:val="nil"/>
            <w:left w:val="nil"/>
            <w:bottom w:val="nil"/>
            <w:right w:val="nil"/>
          </w:tcBorders>
        </w:tcPr>
        <w:p w:rsidR="00174D8C" w:rsidRDefault="001F1F20">
          <w:pPr>
            <w:pStyle w:val="Header"/>
            <w:tabs>
              <w:tab w:val="clear" w:pos="4320"/>
              <w:tab w:val="clear" w:pos="8640"/>
              <w:tab w:val="left" w:pos="1080"/>
              <w:tab w:val="left" w:pos="3420"/>
            </w:tabs>
            <w:spacing w:before="0"/>
            <w:ind w:firstLine="1080"/>
            <w:rPr>
              <w:rFonts w:ascii="Arial" w:hAnsi="Arial" w:cs="Arial"/>
              <w:b/>
              <w:bCs/>
              <w:sz w:val="20"/>
              <w:lang w:val="fr-CA"/>
            </w:rPr>
          </w:pPr>
          <w:r>
            <w:rPr>
              <w:sz w:val="20"/>
              <w:lang w:val="en-CA" w:eastAsia="en-CA"/>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66725" cy="247650"/>
                <wp:effectExtent l="0" t="0" r="9525" b="0"/>
                <wp:wrapNone/>
                <wp:docPr id="3"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D8C">
            <w:rPr>
              <w:rFonts w:ascii="Arial" w:hAnsi="Arial" w:cs="Arial"/>
              <w:b/>
              <w:bCs/>
              <w:sz w:val="20"/>
              <w:lang w:val="fr-CA"/>
            </w:rPr>
            <w:t>Office de la propriété</w:t>
          </w:r>
          <w:r w:rsidR="00174D8C">
            <w:rPr>
              <w:rFonts w:ascii="Arial" w:hAnsi="Arial" w:cs="Arial"/>
              <w:b/>
              <w:bCs/>
              <w:sz w:val="20"/>
              <w:lang w:val="fr-CA"/>
            </w:rPr>
            <w:tab/>
            <w:t>Canadian</w:t>
          </w:r>
        </w:p>
        <w:p w:rsidR="00174D8C" w:rsidRDefault="00174D8C">
          <w:pPr>
            <w:pStyle w:val="Header"/>
            <w:tabs>
              <w:tab w:val="clear" w:pos="4320"/>
              <w:tab w:val="clear" w:pos="8640"/>
              <w:tab w:val="left" w:pos="1080"/>
              <w:tab w:val="left" w:pos="3420"/>
            </w:tabs>
            <w:spacing w:before="0"/>
            <w:ind w:firstLine="1080"/>
            <w:rPr>
              <w:rFonts w:ascii="Arial" w:hAnsi="Arial" w:cs="Arial"/>
              <w:b/>
              <w:bCs/>
              <w:sz w:val="20"/>
              <w:lang w:val="fr-CA"/>
            </w:rPr>
          </w:pPr>
          <w:r>
            <w:rPr>
              <w:rFonts w:ascii="Arial" w:hAnsi="Arial" w:cs="Arial"/>
              <w:b/>
              <w:bCs/>
              <w:sz w:val="20"/>
              <w:lang w:val="fr-CA"/>
            </w:rPr>
            <w:t>intellectuelle</w:t>
          </w:r>
          <w:r>
            <w:rPr>
              <w:rFonts w:ascii="Arial" w:hAnsi="Arial" w:cs="Arial"/>
              <w:b/>
              <w:bCs/>
              <w:sz w:val="20"/>
              <w:lang w:val="fr-CA"/>
            </w:rPr>
            <w:tab/>
            <w:t>Intellectual Property</w:t>
          </w:r>
        </w:p>
        <w:p w:rsidR="00174D8C" w:rsidRDefault="00174D8C">
          <w:pPr>
            <w:pStyle w:val="Header"/>
            <w:tabs>
              <w:tab w:val="clear" w:pos="4320"/>
              <w:tab w:val="clear" w:pos="8640"/>
              <w:tab w:val="left" w:pos="1080"/>
              <w:tab w:val="left" w:pos="3420"/>
            </w:tabs>
            <w:spacing w:before="0"/>
            <w:ind w:firstLine="1080"/>
            <w:rPr>
              <w:rFonts w:ascii="Arial" w:hAnsi="Arial" w:cs="Arial"/>
              <w:sz w:val="16"/>
              <w:lang w:val="fr-CA"/>
            </w:rPr>
          </w:pPr>
          <w:r>
            <w:rPr>
              <w:rFonts w:ascii="Arial" w:hAnsi="Arial" w:cs="Arial"/>
              <w:b/>
              <w:bCs/>
              <w:sz w:val="20"/>
              <w:lang w:val="fr-CA"/>
            </w:rPr>
            <w:t>du Canada</w:t>
          </w:r>
          <w:r>
            <w:rPr>
              <w:rFonts w:ascii="Arial" w:hAnsi="Arial" w:cs="Arial"/>
              <w:b/>
              <w:bCs/>
              <w:sz w:val="20"/>
              <w:lang w:val="fr-CA"/>
            </w:rPr>
            <w:tab/>
            <w:t>Office</w:t>
          </w:r>
        </w:p>
        <w:p w:rsidR="00174D8C" w:rsidRDefault="00174D8C">
          <w:pPr>
            <w:pStyle w:val="Header"/>
            <w:tabs>
              <w:tab w:val="clear" w:pos="4320"/>
              <w:tab w:val="clear" w:pos="8640"/>
              <w:tab w:val="left" w:pos="1080"/>
              <w:tab w:val="left" w:pos="3420"/>
            </w:tabs>
            <w:spacing w:before="0" w:line="120" w:lineRule="exact"/>
            <w:ind w:firstLine="1080"/>
            <w:rPr>
              <w:rFonts w:ascii="Arial" w:hAnsi="Arial" w:cs="Arial"/>
              <w:sz w:val="16"/>
              <w:lang w:val="fr-CA"/>
            </w:rPr>
          </w:pP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Un organisme</w:t>
          </w:r>
          <w:r>
            <w:rPr>
              <w:rFonts w:ascii="Arial" w:hAnsi="Arial" w:cs="Arial"/>
              <w:sz w:val="15"/>
              <w:lang w:val="fr-CA"/>
            </w:rPr>
            <w:tab/>
            <w:t>An Agency of</w:t>
          </w: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d'Industrie Canada</w:t>
          </w:r>
          <w:r>
            <w:rPr>
              <w:rFonts w:ascii="Arial" w:hAnsi="Arial" w:cs="Arial"/>
              <w:sz w:val="15"/>
              <w:lang w:val="fr-CA"/>
            </w:rPr>
            <w:tab/>
            <w:t>Industry Canada</w:t>
          </w:r>
        </w:p>
        <w:p w:rsidR="00174D8C" w:rsidRDefault="00174D8C">
          <w:pPr>
            <w:pStyle w:val="Header"/>
            <w:tabs>
              <w:tab w:val="clear" w:pos="4320"/>
              <w:tab w:val="clear" w:pos="8640"/>
              <w:tab w:val="left" w:pos="1080"/>
              <w:tab w:val="left" w:pos="3420"/>
            </w:tabs>
            <w:spacing w:before="0" w:line="120" w:lineRule="exact"/>
            <w:ind w:firstLine="1080"/>
            <w:rPr>
              <w:rFonts w:ascii="Arial" w:hAnsi="Arial" w:cs="Arial"/>
              <w:sz w:val="15"/>
              <w:lang w:val="fr-CA"/>
            </w:rPr>
          </w:pP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50, rue Victoria, bureau C-114</w:t>
          </w:r>
          <w:r>
            <w:rPr>
              <w:rFonts w:ascii="Arial" w:hAnsi="Arial" w:cs="Arial"/>
              <w:sz w:val="15"/>
              <w:lang w:val="fr-CA"/>
            </w:rPr>
            <w:tab/>
            <w:t>50 Victoria Street, Room C-114</w:t>
          </w:r>
        </w:p>
        <w:p w:rsidR="00174D8C" w:rsidRDefault="00174D8C">
          <w:pPr>
            <w:pStyle w:val="Header"/>
            <w:tabs>
              <w:tab w:val="clear" w:pos="4320"/>
              <w:tab w:val="clear" w:pos="8640"/>
              <w:tab w:val="left" w:pos="1080"/>
              <w:tab w:val="left" w:pos="3420"/>
            </w:tabs>
            <w:spacing w:before="0" w:line="160" w:lineRule="exact"/>
            <w:ind w:firstLine="1080"/>
            <w:rPr>
              <w:rFonts w:ascii="Arial" w:hAnsi="Arial" w:cs="Arial"/>
              <w:sz w:val="15"/>
              <w:lang w:val="fr-CA"/>
            </w:rPr>
          </w:pPr>
          <w:r>
            <w:rPr>
              <w:rFonts w:ascii="Arial" w:hAnsi="Arial" w:cs="Arial"/>
              <w:sz w:val="15"/>
              <w:lang w:val="fr-CA"/>
            </w:rPr>
            <w:t>Place du Portage I</w:t>
          </w:r>
          <w:r>
            <w:rPr>
              <w:rFonts w:ascii="Arial" w:hAnsi="Arial" w:cs="Arial"/>
              <w:sz w:val="15"/>
              <w:lang w:val="fr-CA"/>
            </w:rPr>
            <w:tab/>
            <w:t>Place du Portage I</w:t>
          </w:r>
        </w:p>
        <w:p w:rsidR="00174D8C" w:rsidRDefault="00174D8C">
          <w:pPr>
            <w:pStyle w:val="Header"/>
            <w:tabs>
              <w:tab w:val="clear" w:pos="4320"/>
              <w:tab w:val="clear" w:pos="8640"/>
              <w:tab w:val="left" w:pos="1080"/>
              <w:tab w:val="left" w:pos="3420"/>
            </w:tabs>
            <w:spacing w:before="0"/>
            <w:ind w:firstLine="1080"/>
            <w:rPr>
              <w:lang w:val="fr-CA"/>
            </w:rPr>
          </w:pPr>
          <w:r>
            <w:rPr>
              <w:rFonts w:ascii="Arial" w:hAnsi="Arial" w:cs="Arial"/>
              <w:sz w:val="15"/>
              <w:lang w:val="fr-CA"/>
            </w:rPr>
            <w:t>Gatineau (Québec)   K1A 0C9</w:t>
          </w:r>
          <w:r>
            <w:rPr>
              <w:rFonts w:ascii="Arial" w:hAnsi="Arial" w:cs="Arial"/>
              <w:sz w:val="15"/>
              <w:lang w:val="fr-CA"/>
            </w:rPr>
            <w:tab/>
            <w:t>Gatineau, Quebec   K1A 0C9</w:t>
          </w:r>
        </w:p>
      </w:tc>
    </w:tr>
  </w:tbl>
  <w:p w:rsidR="00174D8C" w:rsidRPr="00FF215C" w:rsidRDefault="00174D8C">
    <w:pPr>
      <w:pStyle w:val="Header"/>
      <w:rPr>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8C" w:rsidRDefault="00174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ssociatedMarksE" w:val="~"/>
    <w:docVar w:name="sAssociatedMarksF" w:val="~"/>
    <w:docVar w:name="sForeignAppCountriesE" w:val="~"/>
    <w:docVar w:name="sForeignAppCountriesF" w:val="~"/>
    <w:docVar w:name="sForeignAppDatesE" w:val="~"/>
    <w:docVar w:name="sForeignAppDatesF" w:val="~"/>
    <w:docVar w:name="sForeignAppNumbers" w:val="~"/>
    <w:docVar w:name="sForeignRegCountriesE" w:val="~"/>
    <w:docVar w:name="sForeignRegCountriesF" w:val="~"/>
    <w:docVar w:name="sForeignRegDatesE" w:val="~"/>
    <w:docVar w:name="sForeignRegDatesF" w:val="~"/>
    <w:docVar w:name="sForeignRegNumbers" w:val="~"/>
    <w:docVar w:name="sSection12_1_d" w:val="~"/>
    <w:docVar w:name="sSection12_1_e" w:val="~"/>
    <w:docVar w:name="sSection121d" w:val="~"/>
    <w:docVar w:name="sSection16" w:val="~"/>
    <w:docVar w:name="sSection37_3E" w:val="~"/>
    <w:docVar w:name="sSection37_3F" w:val="~"/>
    <w:docVar w:name="sUsedInCanadaDateE" w:val="1962~ 2002"/>
    <w:docVar w:name="sUsedInCanadaDateF" w:val="1962~ 2002"/>
  </w:docVars>
  <w:rsids>
    <w:rsidRoot w:val="007D1A2C"/>
    <w:rsid w:val="00174D8C"/>
    <w:rsid w:val="001A4AAC"/>
    <w:rsid w:val="001F1F20"/>
    <w:rsid w:val="00223A97"/>
    <w:rsid w:val="00283C00"/>
    <w:rsid w:val="00291FA9"/>
    <w:rsid w:val="00410BD4"/>
    <w:rsid w:val="0046467C"/>
    <w:rsid w:val="00512D79"/>
    <w:rsid w:val="00517602"/>
    <w:rsid w:val="006D7370"/>
    <w:rsid w:val="00746C53"/>
    <w:rsid w:val="007D1A2C"/>
    <w:rsid w:val="008B6E2E"/>
    <w:rsid w:val="008F0893"/>
    <w:rsid w:val="00A01BFE"/>
    <w:rsid w:val="00B534BC"/>
    <w:rsid w:val="00B84A81"/>
    <w:rsid w:val="00BB2E26"/>
    <w:rsid w:val="00BE1CE2"/>
    <w:rsid w:val="00D6129B"/>
    <w:rsid w:val="00E15FC5"/>
    <w:rsid w:val="00F32D14"/>
    <w:rsid w:val="00F37BED"/>
    <w:rsid w:val="00F73625"/>
    <w:rsid w:val="00FF21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8F0893"/>
    <w:rPr>
      <w:rFonts w:ascii="Tahoma" w:hAnsi="Tahoma" w:cs="Tahoma"/>
      <w:sz w:val="16"/>
      <w:szCs w:val="16"/>
    </w:rPr>
  </w:style>
  <w:style w:type="character" w:customStyle="1" w:styleId="BalloonTextChar">
    <w:name w:val="Balloon Text Char"/>
    <w:basedOn w:val="DefaultParagraphFont"/>
    <w:link w:val="BalloonText"/>
    <w:rsid w:val="008F089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styleId="Footer">
    <w:name w:val="footer"/>
    <w:basedOn w:val="Normal"/>
    <w:pPr>
      <w:tabs>
        <w:tab w:val="left" w:pos="-720"/>
        <w:tab w:val="center" w:pos="4320"/>
        <w:tab w:val="right" w:pos="8640"/>
      </w:tabs>
      <w:suppressAutoHyphens/>
      <w:spacing w:before="120"/>
      <w:jc w:val="both"/>
    </w:pPr>
    <w:rPr>
      <w:rFonts w:ascii="Courier New" w:hAnsi="Courier New"/>
      <w:noProof/>
      <w:color w:val="000000"/>
      <w:spacing w:val="3"/>
      <w:sz w:val="22"/>
    </w:rPr>
  </w:style>
  <w:style w:type="paragraph" w:customStyle="1" w:styleId="REItem">
    <w:name w:val="RE_Item"/>
    <w:basedOn w:val="Normal"/>
    <w:pPr>
      <w:tabs>
        <w:tab w:val="left" w:pos="-720"/>
        <w:tab w:val="left" w:pos="851"/>
        <w:tab w:val="left" w:pos="2268"/>
      </w:tabs>
      <w:suppressAutoHyphens/>
      <w:spacing w:before="120"/>
      <w:ind w:left="2268" w:hanging="2268"/>
      <w:jc w:val="both"/>
    </w:pPr>
    <w:rPr>
      <w:noProof/>
      <w:color w:val="000000"/>
      <w:spacing w:val="-3"/>
      <w:sz w:val="24"/>
    </w:rPr>
  </w:style>
  <w:style w:type="character" w:styleId="PageNumber">
    <w:name w:val="page number"/>
    <w:basedOn w:val="DefaultParagraphFont"/>
  </w:style>
  <w:style w:type="paragraph" w:styleId="BalloonText">
    <w:name w:val="Balloon Text"/>
    <w:basedOn w:val="Normal"/>
    <w:link w:val="BalloonTextChar"/>
    <w:rsid w:val="008F0893"/>
    <w:rPr>
      <w:rFonts w:ascii="Tahoma" w:hAnsi="Tahoma" w:cs="Tahoma"/>
      <w:sz w:val="16"/>
      <w:szCs w:val="16"/>
    </w:rPr>
  </w:style>
  <w:style w:type="character" w:customStyle="1" w:styleId="BalloonTextChar">
    <w:name w:val="Balloon Text Char"/>
    <w:basedOn w:val="DefaultParagraphFont"/>
    <w:link w:val="BalloonText"/>
    <w:rsid w:val="008F089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71644">
      <w:bodyDiv w:val="1"/>
      <w:marLeft w:val="0"/>
      <w:marRight w:val="0"/>
      <w:marTop w:val="0"/>
      <w:marBottom w:val="0"/>
      <w:divBdr>
        <w:top w:val="none" w:sz="0" w:space="0" w:color="auto"/>
        <w:left w:val="none" w:sz="0" w:space="0" w:color="auto"/>
        <w:bottom w:val="none" w:sz="0" w:space="0" w:color="auto"/>
        <w:right w:val="none" w:sz="0" w:space="0" w:color="auto"/>
      </w:divBdr>
    </w:div>
    <w:div w:id="188232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5.ti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NTREPID\WPT\ENGLISH\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mplate>
  <TotalTime>418</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vt:lpstr>
    </vt:vector>
  </TitlesOfParts>
  <Company>Industry Canada  Trademarks</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Doyle, Jordan: CIPO-OPIC</dc:creator>
  <cp:keywords/>
  <dc:description/>
  <cp:lastModifiedBy>Doyle, Jordan: CIPO-OPIC</cp:lastModifiedBy>
  <cp:revision>2</cp:revision>
  <cp:lastPrinted>1996-12-17T14:16:00Z</cp:lastPrinted>
  <dcterms:created xsi:type="dcterms:W3CDTF">2016-03-03T12:39:00Z</dcterms:created>
  <dcterms:modified xsi:type="dcterms:W3CDTF">2016-03-03T19:37:00Z</dcterms:modified>
</cp:coreProperties>
</file>